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D9" w:rsidRPr="00C62BAF" w:rsidRDefault="001272D9" w:rsidP="001272D9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1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06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/24</w:t>
      </w:r>
    </w:p>
    <w:p w:rsidR="001272D9" w:rsidRPr="00C62BAF" w:rsidRDefault="001272D9" w:rsidP="001272D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1272D9" w:rsidRPr="00C62BAF" w:rsidRDefault="001272D9" w:rsidP="001272D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1272D9" w:rsidRPr="00C62BAF" w:rsidRDefault="001272D9" w:rsidP="001272D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1272D9" w:rsidRPr="00C62BAF" w:rsidRDefault="001272D9" w:rsidP="001272D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1272D9" w:rsidRPr="00C62BAF" w:rsidRDefault="001272D9" w:rsidP="001272D9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1272D9" w:rsidRPr="004D7E6D" w:rsidRDefault="001272D9" w:rsidP="001272D9">
      <w:pPr>
        <w:jc w:val="center"/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</w:pPr>
      <w:r w:rsidRPr="004D7E6D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Arrêté de voirie </w:t>
      </w:r>
      <w:r w:rsidRPr="004D7E6D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Occupation du domaine public empiètement sur chaussée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 </w:t>
      </w:r>
      <w:r w:rsidRPr="004D7E6D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 xml:space="preserve">Travaux de 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t>tirage de câble fibre optique dans les conduites réseau télécom existant</w:t>
      </w:r>
      <w:r w:rsidRPr="004D7E6D">
        <w:rPr>
          <w:rFonts w:ascii="Calibri" w:eastAsia="Times New Roman" w:hAnsi="Calibri" w:cs="Times New Roman"/>
          <w:b/>
          <w:bCs/>
          <w:snapToGrid w:val="0"/>
          <w:sz w:val="24"/>
          <w:szCs w:val="24"/>
          <w:lang w:eastAsia="fr-FR"/>
        </w:rPr>
        <w:br/>
        <w:t>Stationnement interdit au droit du chantier</w:t>
      </w:r>
    </w:p>
    <w:p w:rsidR="001272D9" w:rsidRPr="00C62BAF" w:rsidRDefault="001272D9" w:rsidP="001272D9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 Maire de la Commune d’Ascain,</w:t>
      </w:r>
    </w:p>
    <w:p w:rsidR="001272D9" w:rsidRPr="00C62BAF" w:rsidRDefault="001272D9" w:rsidP="001272D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1272D9" w:rsidRPr="00C62BAF" w:rsidRDefault="001272D9" w:rsidP="001272D9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1272D9" w:rsidRPr="00C62BAF" w:rsidRDefault="001272D9" w:rsidP="001272D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1272D9" w:rsidRPr="00C62BAF" w:rsidRDefault="001272D9" w:rsidP="001272D9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1272D9" w:rsidRPr="00C62BAF" w:rsidRDefault="001272D9" w:rsidP="001272D9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1272D9" w:rsidRDefault="001272D9" w:rsidP="001272D9">
      <w:pPr>
        <w:spacing w:after="0" w:line="240" w:lineRule="auto"/>
        <w:ind w:left="708"/>
        <w:rPr>
          <w:rFonts w:eastAsia="Arial Unicode MS" w:cstheme="minorHAnsi"/>
          <w:kern w:val="1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1272D9" w:rsidRPr="00C62BAF" w:rsidRDefault="001272D9" w:rsidP="001272D9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1272D9" w:rsidRPr="00C62BAF" w:rsidRDefault="001272D9" w:rsidP="001272D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</w:p>
    <w:p w:rsidR="001272D9" w:rsidRDefault="001272D9" w:rsidP="001272D9">
      <w:pPr>
        <w:spacing w:after="0" w:line="240" w:lineRule="auto"/>
        <w:rPr>
          <w:rFonts w:ascii="Calibri" w:hAnsi="Calibri"/>
          <w:bCs/>
          <w:snapToGrid w:val="0"/>
        </w:rPr>
      </w:pPr>
      <w:r>
        <w:rPr>
          <w:rFonts w:ascii="Calibri" w:hAnsi="Calibri"/>
          <w:bCs/>
          <w:snapToGrid w:val="0"/>
        </w:rPr>
        <w:t>A compter du 5 février 2024 et pour une durée de 12 jours, l</w:t>
      </w:r>
      <w:r>
        <w:rPr>
          <w:rFonts w:ascii="Calibri" w:hAnsi="Calibri"/>
          <w:bCs/>
          <w:snapToGrid w:val="0"/>
        </w:rPr>
        <w:t xml:space="preserve">’entreprise </w:t>
      </w:r>
      <w:r>
        <w:rPr>
          <w:rFonts w:ascii="Calibri" w:hAnsi="Calibri"/>
          <w:bCs/>
          <w:snapToGrid w:val="0"/>
        </w:rPr>
        <w:t>SOCOM</w:t>
      </w:r>
      <w:r>
        <w:rPr>
          <w:rFonts w:ascii="Calibri" w:hAnsi="Calibri"/>
          <w:bCs/>
          <w:snapToGrid w:val="0"/>
        </w:rPr>
        <w:t xml:space="preserve"> </w:t>
      </w:r>
      <w:r>
        <w:rPr>
          <w:rFonts w:ascii="Calibri" w:hAnsi="Calibri"/>
          <w:bCs/>
          <w:snapToGrid w:val="0"/>
        </w:rPr>
        <w:t>1550</w:t>
      </w:r>
      <w:r w:rsidRPr="00E10EA5">
        <w:rPr>
          <w:rFonts w:ascii="Calibri" w:hAnsi="Calibri"/>
          <w:bCs/>
          <w:snapToGrid w:val="0"/>
        </w:rPr>
        <w:t xml:space="preserve"> r</w:t>
      </w:r>
      <w:r>
        <w:rPr>
          <w:rFonts w:ascii="Calibri" w:hAnsi="Calibri"/>
          <w:bCs/>
          <w:snapToGrid w:val="0"/>
        </w:rPr>
        <w:t>o</w:t>
      </w:r>
      <w:r w:rsidRPr="00E10EA5">
        <w:rPr>
          <w:rFonts w:ascii="Calibri" w:hAnsi="Calibri"/>
          <w:bCs/>
          <w:snapToGrid w:val="0"/>
        </w:rPr>
        <w:t>u</w:t>
      </w:r>
      <w:r>
        <w:rPr>
          <w:rFonts w:ascii="Calibri" w:hAnsi="Calibri"/>
          <w:bCs/>
          <w:snapToGrid w:val="0"/>
        </w:rPr>
        <w:t>t</w:t>
      </w:r>
      <w:r w:rsidRPr="00E10EA5">
        <w:rPr>
          <w:rFonts w:ascii="Calibri" w:hAnsi="Calibri"/>
          <w:bCs/>
          <w:snapToGrid w:val="0"/>
        </w:rPr>
        <w:t xml:space="preserve">e </w:t>
      </w:r>
      <w:r>
        <w:rPr>
          <w:rFonts w:ascii="Calibri" w:hAnsi="Calibri"/>
          <w:bCs/>
          <w:snapToGrid w:val="0"/>
        </w:rPr>
        <w:t>d’Auch</w:t>
      </w:r>
      <w:r>
        <w:rPr>
          <w:rFonts w:ascii="Calibri" w:hAnsi="Calibri"/>
          <w:bCs/>
          <w:snapToGrid w:val="0"/>
          <w:lang w:val="x-none"/>
        </w:rPr>
        <w:t xml:space="preserve"> </w:t>
      </w:r>
      <w:r>
        <w:rPr>
          <w:rFonts w:ascii="Calibri" w:hAnsi="Calibri"/>
          <w:bCs/>
          <w:snapToGrid w:val="0"/>
        </w:rPr>
        <w:t xml:space="preserve">82000 Montauban </w:t>
      </w:r>
      <w:r w:rsidRPr="00E10EA5">
        <w:rPr>
          <w:rFonts w:ascii="Calibri" w:hAnsi="Calibri"/>
          <w:bCs/>
          <w:snapToGrid w:val="0"/>
          <w:lang w:val="x-none"/>
        </w:rPr>
        <w:t>e</w:t>
      </w:r>
      <w:r w:rsidRPr="00E10EA5">
        <w:rPr>
          <w:rFonts w:ascii="Calibri" w:hAnsi="Calibri"/>
          <w:bCs/>
          <w:snapToGrid w:val="0"/>
        </w:rPr>
        <w:t xml:space="preserve">st autorisée </w:t>
      </w:r>
      <w:r>
        <w:rPr>
          <w:rFonts w:ascii="Calibri" w:hAnsi="Calibri"/>
          <w:bCs/>
          <w:snapToGrid w:val="0"/>
        </w:rPr>
        <w:t>à effectuer des travaux de tirage de câble fibre optique dans les conduites et sur les appuis du réseau télécom existant</w:t>
      </w:r>
      <w:r>
        <w:rPr>
          <w:rFonts w:ascii="Calibri" w:hAnsi="Calibri"/>
          <w:bCs/>
          <w:snapToGrid w:val="0"/>
        </w:rPr>
        <w:t xml:space="preserve"> sur le</w:t>
      </w:r>
      <w:r>
        <w:rPr>
          <w:rFonts w:ascii="Calibri" w:hAnsi="Calibri"/>
          <w:bCs/>
          <w:snapToGrid w:val="0"/>
        </w:rPr>
        <w:t xml:space="preserve">s voies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1272D9" w:rsidTr="001272D9">
        <w:tc>
          <w:tcPr>
            <w:tcW w:w="2265" w:type="dxa"/>
          </w:tcPr>
          <w:p w:rsidR="001272D9" w:rsidRDefault="001272D9" w:rsidP="001272D9">
            <w:pPr>
              <w:rPr>
                <w:rFonts w:ascii="Calibri" w:hAnsi="Calibri"/>
                <w:bCs/>
                <w:snapToGrid w:val="0"/>
              </w:rPr>
            </w:pPr>
            <w:proofErr w:type="spellStart"/>
            <w:r>
              <w:rPr>
                <w:rFonts w:ascii="Calibri" w:hAnsi="Calibri"/>
                <w:bCs/>
                <w:snapToGrid w:val="0"/>
              </w:rPr>
              <w:t>Kisu</w:t>
            </w:r>
            <w:proofErr w:type="spellEnd"/>
            <w:r>
              <w:rPr>
                <w:rFonts w:ascii="Calibri" w:hAnsi="Calibri"/>
                <w:bCs/>
                <w:snapToGrid w:val="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napToGrid w:val="0"/>
              </w:rPr>
              <w:t>Labea</w:t>
            </w:r>
            <w:proofErr w:type="spellEnd"/>
          </w:p>
        </w:tc>
        <w:tc>
          <w:tcPr>
            <w:tcW w:w="2265" w:type="dxa"/>
          </w:tcPr>
          <w:p w:rsidR="001272D9" w:rsidRDefault="001272D9" w:rsidP="001272D9">
            <w:pPr>
              <w:rPr>
                <w:rFonts w:ascii="Calibri" w:hAnsi="Calibri"/>
                <w:bCs/>
                <w:snapToGrid w:val="0"/>
              </w:rPr>
            </w:pPr>
            <w:proofErr w:type="spellStart"/>
            <w:r>
              <w:rPr>
                <w:rFonts w:ascii="Calibri" w:hAnsi="Calibri"/>
                <w:bCs/>
                <w:snapToGrid w:val="0"/>
              </w:rPr>
              <w:t>Dorrea</w:t>
            </w:r>
            <w:proofErr w:type="spellEnd"/>
          </w:p>
        </w:tc>
        <w:tc>
          <w:tcPr>
            <w:tcW w:w="2265" w:type="dxa"/>
          </w:tcPr>
          <w:p w:rsidR="001272D9" w:rsidRDefault="001272D9" w:rsidP="001272D9">
            <w:pPr>
              <w:rPr>
                <w:rFonts w:ascii="Calibri" w:hAnsi="Calibri"/>
                <w:bCs/>
                <w:snapToGrid w:val="0"/>
              </w:rPr>
            </w:pPr>
            <w:r>
              <w:rPr>
                <w:rFonts w:ascii="Calibri" w:hAnsi="Calibri"/>
                <w:bCs/>
                <w:snapToGrid w:val="0"/>
              </w:rPr>
              <w:t>Ciboure</w:t>
            </w:r>
          </w:p>
        </w:tc>
        <w:tc>
          <w:tcPr>
            <w:tcW w:w="2265" w:type="dxa"/>
          </w:tcPr>
          <w:p w:rsidR="001272D9" w:rsidRDefault="001272D9" w:rsidP="001272D9">
            <w:pPr>
              <w:rPr>
                <w:rFonts w:ascii="Calibri" w:hAnsi="Calibri"/>
                <w:bCs/>
                <w:snapToGrid w:val="0"/>
              </w:rPr>
            </w:pPr>
            <w:proofErr w:type="spellStart"/>
            <w:r>
              <w:rPr>
                <w:rFonts w:ascii="Calibri" w:hAnsi="Calibri"/>
                <w:bCs/>
                <w:snapToGrid w:val="0"/>
              </w:rPr>
              <w:t>Burdin</w:t>
            </w:r>
            <w:proofErr w:type="spellEnd"/>
            <w:r>
              <w:rPr>
                <w:rFonts w:ascii="Calibri" w:hAnsi="Calibri"/>
                <w:bCs/>
                <w:snapToGrid w:val="0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napToGrid w:val="0"/>
              </w:rPr>
              <w:t>Bidea</w:t>
            </w:r>
            <w:proofErr w:type="spellEnd"/>
          </w:p>
        </w:tc>
      </w:tr>
    </w:tbl>
    <w:p w:rsidR="001272D9" w:rsidRPr="004D7E6D" w:rsidRDefault="001272D9" w:rsidP="001272D9">
      <w:pPr>
        <w:spacing w:after="0" w:line="240" w:lineRule="auto"/>
        <w:rPr>
          <w:rFonts w:ascii="Calibri" w:hAnsi="Calibri"/>
          <w:bCs/>
          <w:snapToGrid w:val="0"/>
        </w:rPr>
      </w:pPr>
      <w:r>
        <w:rPr>
          <w:rFonts w:ascii="Calibri" w:hAnsi="Calibri"/>
          <w:bCs/>
          <w:snapToGrid w:val="0"/>
        </w:rPr>
        <w:t xml:space="preserve"> </w:t>
      </w:r>
      <w:r>
        <w:rPr>
          <w:rFonts w:ascii="Calibri" w:eastAsia="Times New Roman" w:hAnsi="Calibri" w:cs="Calibri"/>
          <w:snapToGrid w:val="0"/>
          <w:lang w:eastAsia="fr-FR"/>
        </w:rPr>
        <w:t>Le stationnement sera interdit au droit du chantier</w:t>
      </w:r>
    </w:p>
    <w:p w:rsidR="001272D9" w:rsidRPr="00C62BAF" w:rsidRDefault="001272D9" w:rsidP="001272D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</w:p>
    <w:p w:rsidR="001272D9" w:rsidRPr="00C62BAF" w:rsidRDefault="001272D9" w:rsidP="001272D9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E10EA5">
        <w:rPr>
          <w:rFonts w:ascii="Calibri" w:hAnsi="Calibri"/>
          <w:snapToGrid w:val="0"/>
        </w:rPr>
        <w:t xml:space="preserve">Les panneaux de signalisation et de circulation nécessaires seront placés par </w:t>
      </w:r>
      <w:r>
        <w:rPr>
          <w:rFonts w:ascii="Calibri" w:hAnsi="Calibri"/>
          <w:snapToGrid w:val="0"/>
        </w:rPr>
        <w:t xml:space="preserve">l’entreprise </w:t>
      </w:r>
      <w:r>
        <w:rPr>
          <w:rFonts w:ascii="Calibri" w:hAnsi="Calibri"/>
          <w:snapToGrid w:val="0"/>
        </w:rPr>
        <w:t>SOCOM</w:t>
      </w:r>
      <w:r>
        <w:rPr>
          <w:rFonts w:ascii="Calibri" w:hAnsi="Calibri"/>
          <w:snapToGrid w:val="0"/>
        </w:rPr>
        <w:t xml:space="preserve">, </w:t>
      </w:r>
      <w:r w:rsidRPr="00E10EA5">
        <w:rPr>
          <w:rFonts w:ascii="Calibri" w:hAnsi="Calibri"/>
          <w:snapToGrid w:val="0"/>
        </w:rPr>
        <w:t>pour permettre l’application des présentes dispositions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.</w:t>
      </w:r>
    </w:p>
    <w:p w:rsidR="001272D9" w:rsidRPr="00E83BC2" w:rsidRDefault="001272D9" w:rsidP="001272D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</w:p>
    <w:p w:rsidR="001272D9" w:rsidRPr="00C62BAF" w:rsidRDefault="001272D9" w:rsidP="001272D9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1272D9" w:rsidRPr="00E83BC2" w:rsidRDefault="001272D9" w:rsidP="001272D9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</w:p>
    <w:p w:rsidR="001272D9" w:rsidRPr="00C62BAF" w:rsidRDefault="001272D9" w:rsidP="001272D9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1272D9" w:rsidRPr="00C62BAF" w:rsidRDefault="001272D9" w:rsidP="001272D9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>
        <w:rPr>
          <w:rFonts w:ascii="Calibri" w:eastAsia="Times New Roman" w:hAnsi="Calibri" w:cs="Times New Roman"/>
          <w:snapToGrid w:val="0"/>
          <w:lang w:eastAsia="fr-FR"/>
        </w:rPr>
        <w:t>25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janvier 2024</w:t>
      </w:r>
    </w:p>
    <w:p w:rsidR="001272D9" w:rsidRPr="00C62BAF" w:rsidRDefault="001272D9" w:rsidP="001272D9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1272D9" w:rsidRDefault="001272D9" w:rsidP="001272D9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</w:t>
      </w:r>
      <w:bookmarkStart w:id="0" w:name="_GoBack"/>
      <w:bookmarkEnd w:id="0"/>
      <w:r w:rsidRPr="00C62BAF">
        <w:rPr>
          <w:rFonts w:ascii="Calibri" w:eastAsia="Times New Roman" w:hAnsi="Calibri" w:cs="Times New Roman"/>
          <w:snapToGrid w:val="0"/>
          <w:lang w:eastAsia="fr-FR"/>
        </w:rPr>
        <w:t>is FOURNIER</w:t>
      </w:r>
    </w:p>
    <w:sectPr w:rsidR="00416C07" w:rsidRPr="001272D9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D9"/>
    <w:rsid w:val="001272D9"/>
    <w:rsid w:val="00416C07"/>
    <w:rsid w:val="00A2153D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33707-0779-4E77-B16A-177A5984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2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Tirage câble fibre optique du 5 au 20 février 2024</dc:title>
  <dc:subject/>
  <dc:creator>atelier</dc:creator>
  <cp:keywords/>
  <dc:description/>
  <cp:lastModifiedBy>atelier</cp:lastModifiedBy>
  <cp:revision>1</cp:revision>
  <dcterms:created xsi:type="dcterms:W3CDTF">2024-01-25T09:22:00Z</dcterms:created>
  <dcterms:modified xsi:type="dcterms:W3CDTF">2024-01-25T09:32:00Z</dcterms:modified>
</cp:coreProperties>
</file>