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5E859" w14:textId="77777777" w:rsidR="007155B4" w:rsidRDefault="007155B4">
      <w:pPr>
        <w:pStyle w:val="Standard"/>
        <w:jc w:val="center"/>
        <w:rPr>
          <w:rFonts w:eastAsia="Times New Roman"/>
          <w:b/>
          <w:bCs/>
          <w:u w:val="single"/>
          <w:lang w:eastAsia="fr-FR"/>
        </w:rPr>
      </w:pPr>
    </w:p>
    <w:p w14:paraId="297F8F7A" w14:textId="77777777" w:rsidR="007155B4" w:rsidRDefault="00000000">
      <w:pPr>
        <w:pStyle w:val="Standard"/>
        <w:rPr>
          <w:rFonts w:hint="eastAsia"/>
        </w:rPr>
      </w:pPr>
      <w:r>
        <w:rPr>
          <w:rFonts w:eastAsia="Times New Roman"/>
          <w:lang w:eastAsia="fr-FR"/>
        </w:rPr>
        <w:t>Département :</w:t>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t>N°637/2024/PM</w:t>
      </w:r>
    </w:p>
    <w:p w14:paraId="1DAFF997" w14:textId="77777777" w:rsidR="007155B4" w:rsidRDefault="00000000">
      <w:pPr>
        <w:pStyle w:val="Standard"/>
        <w:rPr>
          <w:rFonts w:hint="eastAsia"/>
        </w:rPr>
      </w:pPr>
      <w:r>
        <w:rPr>
          <w:rFonts w:eastAsia="Times New Roman"/>
          <w:lang w:eastAsia="fr-FR"/>
        </w:rPr>
        <w:t>PYRENEES ATLANTIQUES</w:t>
      </w:r>
    </w:p>
    <w:p w14:paraId="0306C72A" w14:textId="77777777" w:rsidR="007155B4" w:rsidRDefault="00000000">
      <w:pPr>
        <w:pStyle w:val="Standard"/>
        <w:rPr>
          <w:rFonts w:hint="eastAsia"/>
        </w:rPr>
      </w:pPr>
      <w:r>
        <w:rPr>
          <w:rFonts w:eastAsia="Times New Roman"/>
          <w:lang w:eastAsia="fr-FR"/>
        </w:rPr>
        <w:t>Canton :</w:t>
      </w:r>
    </w:p>
    <w:p w14:paraId="3613374D" w14:textId="77777777" w:rsidR="007155B4" w:rsidRDefault="00000000">
      <w:pPr>
        <w:pStyle w:val="Standard"/>
        <w:rPr>
          <w:rFonts w:hint="eastAsia"/>
        </w:rPr>
      </w:pPr>
      <w:r>
        <w:rPr>
          <w:rFonts w:eastAsia="Times New Roman"/>
          <w:lang w:eastAsia="fr-FR"/>
        </w:rPr>
        <w:t>USTARITZ VALLEES NIVE ET NIVELLE</w:t>
      </w:r>
    </w:p>
    <w:p w14:paraId="1A3D62CA" w14:textId="77777777" w:rsidR="007155B4" w:rsidRDefault="00000000">
      <w:pPr>
        <w:pStyle w:val="Standard"/>
        <w:rPr>
          <w:rFonts w:hint="eastAsia"/>
        </w:rPr>
      </w:pPr>
      <w:r>
        <w:rPr>
          <w:rFonts w:eastAsia="Times New Roman"/>
          <w:lang w:eastAsia="fr-FR"/>
        </w:rPr>
        <w:t>Commune :</w:t>
      </w:r>
    </w:p>
    <w:p w14:paraId="40039362" w14:textId="77777777" w:rsidR="007155B4" w:rsidRDefault="00000000">
      <w:pPr>
        <w:pStyle w:val="Standard"/>
        <w:keepNext/>
        <w:outlineLvl w:val="0"/>
        <w:rPr>
          <w:rFonts w:hint="eastAsia"/>
        </w:rPr>
      </w:pPr>
      <w:r>
        <w:rPr>
          <w:rFonts w:eastAsia="Times New Roman"/>
          <w:lang w:eastAsia="fr-FR"/>
        </w:rPr>
        <w:t>ASCAIN</w:t>
      </w:r>
    </w:p>
    <w:p w14:paraId="6439F2B0" w14:textId="77777777" w:rsidR="007155B4" w:rsidRDefault="007155B4">
      <w:pPr>
        <w:pStyle w:val="Standard"/>
        <w:rPr>
          <w:rFonts w:eastAsia="Times New Roman"/>
          <w:lang w:eastAsia="fr-FR"/>
        </w:rPr>
      </w:pPr>
    </w:p>
    <w:p w14:paraId="1E202CD8" w14:textId="77777777" w:rsidR="007155B4" w:rsidRDefault="007155B4">
      <w:pPr>
        <w:pStyle w:val="Standard"/>
        <w:rPr>
          <w:rFonts w:eastAsia="Times New Roman"/>
          <w:lang w:eastAsia="fr-FR"/>
        </w:rPr>
      </w:pPr>
    </w:p>
    <w:p w14:paraId="53652B51" w14:textId="77777777" w:rsidR="007155B4" w:rsidRDefault="007155B4">
      <w:pPr>
        <w:pStyle w:val="Standard"/>
        <w:rPr>
          <w:rFonts w:eastAsia="Times New Roman"/>
          <w:lang w:eastAsia="fr-FR"/>
        </w:rPr>
      </w:pPr>
    </w:p>
    <w:p w14:paraId="6B3B9BE3" w14:textId="77777777" w:rsidR="007155B4" w:rsidRDefault="00000000">
      <w:pPr>
        <w:pStyle w:val="Standard"/>
        <w:keepNext/>
        <w:jc w:val="center"/>
        <w:outlineLvl w:val="1"/>
        <w:rPr>
          <w:rFonts w:hint="eastAsia"/>
        </w:rPr>
      </w:pPr>
      <w:r>
        <w:rPr>
          <w:rFonts w:eastAsia="Times New Roman"/>
          <w:b/>
          <w:sz w:val="28"/>
          <w:szCs w:val="28"/>
          <w:u w:val="single"/>
          <w:lang w:eastAsia="fr-FR"/>
        </w:rPr>
        <w:t>ARRETE TEMPORAIRE RELATIF</w:t>
      </w:r>
    </w:p>
    <w:p w14:paraId="68D84F05" w14:textId="77777777" w:rsidR="007155B4" w:rsidRDefault="00000000">
      <w:pPr>
        <w:pStyle w:val="Standard"/>
        <w:keepNext/>
        <w:jc w:val="center"/>
        <w:outlineLvl w:val="1"/>
        <w:rPr>
          <w:rFonts w:hint="eastAsia"/>
        </w:rPr>
      </w:pPr>
      <w:r>
        <w:rPr>
          <w:rFonts w:eastAsia="Times New Roman"/>
          <w:b/>
          <w:sz w:val="28"/>
          <w:szCs w:val="28"/>
          <w:u w:val="single"/>
          <w:lang w:eastAsia="fr-FR"/>
        </w:rPr>
        <w:t>A L’UTILISATION DU DOMAINE PUBLIC COMMUNAL</w:t>
      </w:r>
    </w:p>
    <w:p w14:paraId="4D5C60E3" w14:textId="77777777" w:rsidR="007155B4" w:rsidRDefault="00000000">
      <w:pPr>
        <w:pStyle w:val="Standard"/>
        <w:keepNext/>
        <w:jc w:val="center"/>
        <w:outlineLvl w:val="1"/>
        <w:rPr>
          <w:rFonts w:hint="eastAsia"/>
        </w:rPr>
      </w:pPr>
      <w:r>
        <w:rPr>
          <w:rFonts w:eastAsia="Times New Roman"/>
          <w:b/>
          <w:sz w:val="28"/>
          <w:szCs w:val="28"/>
          <w:u w:val="single"/>
          <w:lang w:eastAsia="fr-FR"/>
        </w:rPr>
        <w:t>A DES FINS COMMERCIALES</w:t>
      </w:r>
    </w:p>
    <w:p w14:paraId="6BFDB7C8" w14:textId="77777777" w:rsidR="007155B4" w:rsidRDefault="007155B4">
      <w:pPr>
        <w:pStyle w:val="Standard"/>
        <w:rPr>
          <w:rFonts w:eastAsia="Times New Roman"/>
          <w:lang w:eastAsia="fr-FR"/>
        </w:rPr>
      </w:pPr>
    </w:p>
    <w:p w14:paraId="7F807341" w14:textId="77777777" w:rsidR="007155B4" w:rsidRDefault="007155B4">
      <w:pPr>
        <w:pStyle w:val="Standard"/>
        <w:rPr>
          <w:rFonts w:eastAsia="Times New Roman"/>
          <w:lang w:eastAsia="fr-FR"/>
        </w:rPr>
      </w:pPr>
    </w:p>
    <w:p w14:paraId="7DD291B3" w14:textId="77777777" w:rsidR="007155B4" w:rsidRDefault="007155B4">
      <w:pPr>
        <w:pStyle w:val="Standard"/>
        <w:jc w:val="center"/>
        <w:rPr>
          <w:rFonts w:eastAsia="Times New Roman"/>
          <w:b/>
          <w:lang w:eastAsia="fr-FR"/>
        </w:rPr>
      </w:pPr>
    </w:p>
    <w:p w14:paraId="122C816E" w14:textId="77777777" w:rsidR="007155B4" w:rsidRDefault="00000000">
      <w:pPr>
        <w:pStyle w:val="Standard"/>
        <w:ind w:firstLine="708"/>
        <w:jc w:val="both"/>
        <w:rPr>
          <w:rFonts w:hint="eastAsia"/>
        </w:rPr>
      </w:pPr>
      <w:r>
        <w:rPr>
          <w:rFonts w:eastAsia="Times New Roman"/>
          <w:lang w:eastAsia="fr-FR"/>
        </w:rPr>
        <w:t>Le Maire de la Commune d’Ascain,</w:t>
      </w:r>
    </w:p>
    <w:p w14:paraId="506E271C" w14:textId="77777777" w:rsidR="007155B4" w:rsidRDefault="007155B4">
      <w:pPr>
        <w:pStyle w:val="Standard"/>
        <w:ind w:firstLine="708"/>
        <w:jc w:val="both"/>
        <w:rPr>
          <w:rFonts w:eastAsia="Times New Roman"/>
          <w:lang w:eastAsia="fr-FR"/>
        </w:rPr>
      </w:pPr>
    </w:p>
    <w:p w14:paraId="2CDF4852" w14:textId="77777777" w:rsidR="007155B4" w:rsidRDefault="00000000">
      <w:pPr>
        <w:pStyle w:val="Standard"/>
        <w:ind w:left="708"/>
        <w:jc w:val="both"/>
        <w:rPr>
          <w:rFonts w:hint="eastAsia"/>
        </w:rPr>
      </w:pPr>
      <w:r>
        <w:rPr>
          <w:rFonts w:eastAsia="Times New Roman"/>
          <w:lang w:eastAsia="fr-FR"/>
        </w:rPr>
        <w:t>Vu les articles L2212-2 et suivants, L 2213-1 et L.2213-6 du Code général des collectivités territoriales,</w:t>
      </w:r>
    </w:p>
    <w:p w14:paraId="0CE641E4" w14:textId="77777777" w:rsidR="007155B4" w:rsidRDefault="007155B4">
      <w:pPr>
        <w:pStyle w:val="Standard"/>
        <w:ind w:left="708"/>
        <w:jc w:val="both"/>
        <w:rPr>
          <w:rFonts w:eastAsia="Times New Roman"/>
          <w:lang w:eastAsia="fr-FR"/>
        </w:rPr>
      </w:pPr>
    </w:p>
    <w:p w14:paraId="787A81F8" w14:textId="77777777" w:rsidR="007155B4" w:rsidRDefault="00000000">
      <w:pPr>
        <w:pStyle w:val="Standard"/>
        <w:ind w:left="708"/>
        <w:jc w:val="both"/>
        <w:rPr>
          <w:rFonts w:hint="eastAsia"/>
        </w:rPr>
      </w:pPr>
      <w:r>
        <w:rPr>
          <w:rFonts w:eastAsia="Times New Roman"/>
          <w:lang w:eastAsia="fr-FR"/>
        </w:rPr>
        <w:t>Vu le code de la voie routière,</w:t>
      </w:r>
    </w:p>
    <w:p w14:paraId="0ED90580" w14:textId="77777777" w:rsidR="007155B4" w:rsidRDefault="007155B4">
      <w:pPr>
        <w:pStyle w:val="Standard"/>
        <w:ind w:left="708"/>
        <w:jc w:val="both"/>
        <w:rPr>
          <w:rFonts w:eastAsia="Times New Roman"/>
          <w:lang w:eastAsia="fr-FR"/>
        </w:rPr>
      </w:pPr>
    </w:p>
    <w:p w14:paraId="36B4C376" w14:textId="77777777" w:rsidR="007155B4" w:rsidRDefault="00000000">
      <w:pPr>
        <w:pStyle w:val="Standard"/>
        <w:ind w:left="708"/>
        <w:jc w:val="both"/>
        <w:rPr>
          <w:rFonts w:hint="eastAsia"/>
        </w:rPr>
      </w:pPr>
      <w:r>
        <w:rPr>
          <w:rFonts w:eastAsia="Times New Roman"/>
          <w:lang w:eastAsia="fr-FR"/>
        </w:rPr>
        <w:t>Vu le code du commerce,</w:t>
      </w:r>
    </w:p>
    <w:p w14:paraId="4FBB560A" w14:textId="77777777" w:rsidR="007155B4" w:rsidRDefault="007155B4">
      <w:pPr>
        <w:pStyle w:val="Standard"/>
        <w:ind w:left="708"/>
        <w:jc w:val="both"/>
        <w:rPr>
          <w:rFonts w:eastAsia="Times New Roman"/>
          <w:lang w:eastAsia="fr-FR"/>
        </w:rPr>
      </w:pPr>
    </w:p>
    <w:p w14:paraId="60E0A51B" w14:textId="77777777" w:rsidR="007155B4" w:rsidRDefault="00000000">
      <w:pPr>
        <w:pStyle w:val="Standard"/>
        <w:ind w:left="708"/>
        <w:jc w:val="both"/>
        <w:rPr>
          <w:rFonts w:hint="eastAsia"/>
        </w:rPr>
      </w:pPr>
      <w:r>
        <w:rPr>
          <w:rFonts w:eastAsia="Times New Roman"/>
          <w:lang w:eastAsia="fr-FR"/>
        </w:rPr>
        <w:t>Vu le code général de la propriété des personnes publiques,</w:t>
      </w:r>
    </w:p>
    <w:p w14:paraId="252AF718" w14:textId="77777777" w:rsidR="007155B4" w:rsidRDefault="007155B4">
      <w:pPr>
        <w:pStyle w:val="Standard"/>
        <w:ind w:left="708"/>
        <w:jc w:val="both"/>
        <w:rPr>
          <w:rFonts w:eastAsia="Times New Roman"/>
          <w:lang w:eastAsia="fr-FR"/>
        </w:rPr>
      </w:pPr>
    </w:p>
    <w:p w14:paraId="7C5617FA" w14:textId="77777777" w:rsidR="007155B4" w:rsidRDefault="00000000">
      <w:pPr>
        <w:pStyle w:val="Standard"/>
        <w:ind w:firstLine="708"/>
        <w:jc w:val="both"/>
        <w:rPr>
          <w:rFonts w:hint="eastAsia"/>
        </w:rPr>
      </w:pPr>
      <w:r>
        <w:rPr>
          <w:rFonts w:eastAsia="Times New Roman"/>
          <w:lang w:eastAsia="fr-FR"/>
        </w:rPr>
        <w:t>Vu l’article L511-1 du CSI</w:t>
      </w:r>
    </w:p>
    <w:p w14:paraId="0DE2BDDF" w14:textId="77777777" w:rsidR="007155B4" w:rsidRDefault="007155B4">
      <w:pPr>
        <w:pStyle w:val="Standard"/>
        <w:ind w:firstLine="708"/>
        <w:jc w:val="both"/>
        <w:rPr>
          <w:rFonts w:eastAsia="Times New Roman"/>
          <w:lang w:eastAsia="fr-FR"/>
        </w:rPr>
      </w:pPr>
    </w:p>
    <w:p w14:paraId="4E9AC4CA" w14:textId="77777777" w:rsidR="007155B4" w:rsidRDefault="00000000">
      <w:pPr>
        <w:pStyle w:val="Standard"/>
        <w:ind w:left="737" w:right="1069"/>
        <w:jc w:val="both"/>
        <w:rPr>
          <w:rFonts w:hint="eastAsia"/>
        </w:rPr>
      </w:pPr>
      <w:r>
        <w:rPr>
          <w:rFonts w:eastAsia="Times New Roman"/>
          <w:lang w:eastAsia="fr-FR"/>
        </w:rPr>
        <w:t>Vu la loi n°2005-102 du 11 février 2005 pour l’égalité des droits et des chances, la participation et la citoyenneté des personnes handicapées,</w:t>
      </w:r>
    </w:p>
    <w:p w14:paraId="227C5CBD" w14:textId="77777777" w:rsidR="007155B4" w:rsidRDefault="007155B4">
      <w:pPr>
        <w:pStyle w:val="Standard"/>
        <w:ind w:left="737" w:right="1069"/>
        <w:jc w:val="both"/>
        <w:rPr>
          <w:rFonts w:eastAsia="Times New Roman"/>
          <w:lang w:eastAsia="fr-FR"/>
        </w:rPr>
      </w:pPr>
    </w:p>
    <w:p w14:paraId="17FE92F5" w14:textId="77777777" w:rsidR="007155B4" w:rsidRDefault="00000000">
      <w:pPr>
        <w:pStyle w:val="Standard"/>
        <w:ind w:left="737" w:right="1069"/>
        <w:jc w:val="both"/>
        <w:rPr>
          <w:rFonts w:hint="eastAsia"/>
        </w:rPr>
      </w:pPr>
      <w:r>
        <w:rPr>
          <w:rFonts w:eastAsia="Times New Roman"/>
          <w:lang w:eastAsia="fr-FR"/>
        </w:rPr>
        <w:t>Vu la charte de l’occupation du domaine public et des façades des commerces adoptée par délibération du conseil municipal du 12 septembre 2024,</w:t>
      </w:r>
    </w:p>
    <w:p w14:paraId="1C5881BF" w14:textId="77777777" w:rsidR="007155B4" w:rsidRDefault="007155B4">
      <w:pPr>
        <w:pStyle w:val="Standard"/>
        <w:ind w:left="737" w:right="1069"/>
        <w:jc w:val="both"/>
        <w:rPr>
          <w:rFonts w:eastAsia="Times New Roman"/>
          <w:lang w:eastAsia="fr-FR"/>
        </w:rPr>
      </w:pPr>
    </w:p>
    <w:p w14:paraId="0A762D78" w14:textId="77777777" w:rsidR="007155B4" w:rsidRDefault="00000000">
      <w:pPr>
        <w:pStyle w:val="Standard"/>
        <w:ind w:left="737" w:right="1069"/>
        <w:jc w:val="both"/>
        <w:rPr>
          <w:rFonts w:hint="eastAsia"/>
        </w:rPr>
      </w:pPr>
      <w:r>
        <w:rPr>
          <w:rFonts w:eastAsia="Times New Roman"/>
          <w:lang w:eastAsia="fr-FR"/>
        </w:rPr>
        <w:t>Vu la délibération du 12 septembre 2024 fixant les tarifs des droits de place et de stationnement à compter de octobre 2024</w:t>
      </w:r>
    </w:p>
    <w:p w14:paraId="72BB0718" w14:textId="77777777" w:rsidR="007155B4" w:rsidRDefault="007155B4">
      <w:pPr>
        <w:pStyle w:val="Standard"/>
        <w:ind w:left="737" w:right="1069"/>
        <w:jc w:val="both"/>
        <w:rPr>
          <w:rFonts w:eastAsia="Times New Roman"/>
          <w:lang w:eastAsia="fr-FR"/>
        </w:rPr>
      </w:pPr>
    </w:p>
    <w:p w14:paraId="0C0C0DE5" w14:textId="77777777" w:rsidR="007155B4" w:rsidRDefault="00000000">
      <w:pPr>
        <w:pStyle w:val="Standard"/>
        <w:ind w:left="737" w:right="1069"/>
        <w:jc w:val="both"/>
        <w:rPr>
          <w:rFonts w:hint="eastAsia"/>
        </w:rPr>
      </w:pPr>
      <w:r>
        <w:rPr>
          <w:rFonts w:eastAsia="Times New Roman"/>
          <w:b/>
          <w:lang w:eastAsia="fr-FR"/>
        </w:rPr>
        <w:t>Considérant</w:t>
      </w:r>
      <w:r>
        <w:rPr>
          <w:rFonts w:eastAsia="Times New Roman"/>
          <w:lang w:eastAsia="fr-FR"/>
        </w:rPr>
        <w:t xml:space="preserve"> la demande par laquelle Madame LADUCHE Maider, gérante de la </w:t>
      </w:r>
      <w:proofErr w:type="gramStart"/>
      <w:r>
        <w:rPr>
          <w:rFonts w:eastAsia="Times New Roman"/>
          <w:lang w:eastAsia="fr-FR"/>
        </w:rPr>
        <w:t>société</w:t>
      </w:r>
      <w:proofErr w:type="gramEnd"/>
      <w:r>
        <w:rPr>
          <w:rFonts w:eastAsia="Times New Roman"/>
          <w:lang w:eastAsia="fr-FR"/>
        </w:rPr>
        <w:t xml:space="preserve"> PLAZAN </w:t>
      </w:r>
      <w:proofErr w:type="spellStart"/>
      <w:r>
        <w:rPr>
          <w:rFonts w:eastAsia="Times New Roman"/>
          <w:lang w:eastAsia="fr-FR"/>
        </w:rPr>
        <w:t>siret</w:t>
      </w:r>
      <w:proofErr w:type="spellEnd"/>
      <w:r>
        <w:rPr>
          <w:rFonts w:eastAsia="Times New Roman"/>
          <w:lang w:eastAsia="fr-FR"/>
        </w:rPr>
        <w:t xml:space="preserve"> n°</w:t>
      </w:r>
      <w:r>
        <w:rPr>
          <w:rStyle w:val="StrongEmphasis"/>
          <w:rFonts w:ascii="Calibri" w:hAnsi="Calibri"/>
          <w:b w:val="0"/>
          <w:lang w:eastAsia="en-US" w:bidi="ar-SA"/>
        </w:rPr>
        <w:t>832083983000025</w:t>
      </w:r>
      <w:r>
        <w:rPr>
          <w:rStyle w:val="StrongEmphasis"/>
          <w:rFonts w:ascii="Calibri" w:hAnsi="Calibri"/>
          <w:lang w:eastAsia="en-US" w:bidi="ar-SA"/>
        </w:rPr>
        <w:t xml:space="preserve"> </w:t>
      </w:r>
      <w:r>
        <w:rPr>
          <w:rFonts w:eastAsia="Times New Roman"/>
          <w:lang w:eastAsia="fr-FR"/>
        </w:rPr>
        <w:t xml:space="preserve">sollicite l’autorisation d’occuper le domaine public communal en vue d’y installer la terrasse de son établissement « café </w:t>
      </w:r>
      <w:proofErr w:type="spellStart"/>
      <w:r>
        <w:rPr>
          <w:rFonts w:eastAsia="Times New Roman"/>
          <w:lang w:eastAsia="fr-FR"/>
        </w:rPr>
        <w:t>plazan</w:t>
      </w:r>
      <w:proofErr w:type="spellEnd"/>
      <w:r>
        <w:rPr>
          <w:rFonts w:eastAsia="Times New Roman"/>
          <w:lang w:eastAsia="fr-FR"/>
        </w:rPr>
        <w:t xml:space="preserve"> </w:t>
      </w:r>
      <w:proofErr w:type="spellStart"/>
      <w:r>
        <w:rPr>
          <w:rFonts w:eastAsia="Times New Roman"/>
          <w:lang w:eastAsia="fr-FR"/>
        </w:rPr>
        <w:t>ostatua</w:t>
      </w:r>
      <w:proofErr w:type="spellEnd"/>
      <w:r>
        <w:rPr>
          <w:rFonts w:eastAsia="Times New Roman"/>
          <w:lang w:eastAsia="fr-FR"/>
        </w:rPr>
        <w:t> » sis place du fronton 64310 ASCAIN.</w:t>
      </w:r>
    </w:p>
    <w:p w14:paraId="457DCC81" w14:textId="77777777" w:rsidR="007155B4" w:rsidRDefault="007155B4">
      <w:pPr>
        <w:pStyle w:val="Standard"/>
        <w:ind w:left="737" w:right="1069"/>
        <w:jc w:val="both"/>
        <w:rPr>
          <w:rFonts w:eastAsia="Times New Roman"/>
          <w:lang w:eastAsia="fr-FR"/>
        </w:rPr>
      </w:pPr>
    </w:p>
    <w:p w14:paraId="061B4131" w14:textId="77777777" w:rsidR="007155B4" w:rsidRDefault="00000000">
      <w:pPr>
        <w:pStyle w:val="Standard"/>
        <w:ind w:left="737" w:right="1069"/>
        <w:jc w:val="both"/>
        <w:rPr>
          <w:rFonts w:hint="eastAsia"/>
        </w:rPr>
      </w:pPr>
      <w:r>
        <w:rPr>
          <w:rFonts w:eastAsia="Times New Roman"/>
          <w:b/>
          <w:lang w:eastAsia="fr-FR"/>
        </w:rPr>
        <w:t>Considérant</w:t>
      </w:r>
      <w:r>
        <w:rPr>
          <w:rFonts w:eastAsia="Times New Roman"/>
          <w:lang w:eastAsia="fr-FR"/>
        </w:rPr>
        <w:t xml:space="preserve"> que Monsieur le Maire peut, moyennant le paiement de droits fixés par un tarif dûment établi, donner des permis de stationnement ou de dépôt temporaire sur la voie publique et autres lieux publics, sous réserve que cette autorisation n’entraîne aucune gêne pour la circulation et la liberté du commerce.</w:t>
      </w:r>
    </w:p>
    <w:p w14:paraId="5EA09D7C" w14:textId="77777777" w:rsidR="007155B4" w:rsidRDefault="007155B4">
      <w:pPr>
        <w:pStyle w:val="Standard"/>
        <w:ind w:left="737" w:right="1069"/>
        <w:jc w:val="both"/>
        <w:rPr>
          <w:rFonts w:eastAsia="Times New Roman"/>
          <w:lang w:eastAsia="fr-FR"/>
        </w:rPr>
      </w:pPr>
    </w:p>
    <w:p w14:paraId="52C69016" w14:textId="77777777" w:rsidR="007155B4" w:rsidRDefault="007155B4">
      <w:pPr>
        <w:pStyle w:val="Standard"/>
        <w:ind w:left="737" w:right="1069"/>
        <w:jc w:val="both"/>
        <w:rPr>
          <w:rFonts w:eastAsia="Times New Roman"/>
          <w:lang w:eastAsia="fr-FR"/>
        </w:rPr>
      </w:pPr>
    </w:p>
    <w:p w14:paraId="2692875E" w14:textId="77777777" w:rsidR="007155B4" w:rsidRDefault="007155B4">
      <w:pPr>
        <w:pStyle w:val="Standard"/>
        <w:ind w:left="737" w:right="1069"/>
        <w:jc w:val="both"/>
        <w:rPr>
          <w:rFonts w:eastAsia="Times New Roman"/>
          <w:lang w:eastAsia="fr-FR"/>
        </w:rPr>
      </w:pPr>
    </w:p>
    <w:p w14:paraId="5E5FDFC9" w14:textId="77777777" w:rsidR="007155B4" w:rsidRDefault="007155B4">
      <w:pPr>
        <w:pStyle w:val="Standard"/>
        <w:ind w:left="737" w:right="1069"/>
        <w:jc w:val="both"/>
        <w:rPr>
          <w:rFonts w:eastAsia="Times New Roman"/>
          <w:lang w:eastAsia="fr-FR"/>
        </w:rPr>
      </w:pPr>
    </w:p>
    <w:p w14:paraId="1F191C88" w14:textId="77777777" w:rsidR="007155B4" w:rsidRDefault="007155B4">
      <w:pPr>
        <w:pStyle w:val="Standard"/>
        <w:ind w:left="737" w:right="1069"/>
        <w:jc w:val="both"/>
        <w:rPr>
          <w:rFonts w:eastAsia="Times New Roman"/>
          <w:lang w:eastAsia="fr-FR"/>
        </w:rPr>
      </w:pPr>
    </w:p>
    <w:p w14:paraId="21684036" w14:textId="77777777" w:rsidR="007155B4" w:rsidRDefault="007155B4">
      <w:pPr>
        <w:pStyle w:val="Standard"/>
        <w:ind w:left="737" w:right="1069"/>
        <w:jc w:val="both"/>
        <w:rPr>
          <w:rFonts w:eastAsia="Times New Roman"/>
          <w:lang w:eastAsia="fr-FR"/>
        </w:rPr>
      </w:pPr>
    </w:p>
    <w:p w14:paraId="377410F0" w14:textId="77777777" w:rsidR="007155B4" w:rsidRDefault="007155B4">
      <w:pPr>
        <w:pStyle w:val="Standard"/>
        <w:ind w:left="737" w:right="1069"/>
        <w:jc w:val="both"/>
        <w:rPr>
          <w:rFonts w:eastAsia="Times New Roman"/>
          <w:lang w:eastAsia="fr-FR"/>
        </w:rPr>
      </w:pPr>
    </w:p>
    <w:p w14:paraId="7ABA9F4D" w14:textId="77777777" w:rsidR="007155B4" w:rsidRDefault="007155B4">
      <w:pPr>
        <w:pStyle w:val="Standard"/>
        <w:keepNext/>
        <w:outlineLvl w:val="2"/>
        <w:rPr>
          <w:rFonts w:eastAsia="Times New Roman"/>
          <w:b/>
          <w:lang w:eastAsia="fr-FR"/>
        </w:rPr>
      </w:pPr>
    </w:p>
    <w:p w14:paraId="647E3E30" w14:textId="77777777" w:rsidR="007155B4" w:rsidRDefault="00000000">
      <w:pPr>
        <w:pStyle w:val="Standard"/>
        <w:keepNext/>
        <w:jc w:val="center"/>
        <w:outlineLvl w:val="2"/>
        <w:rPr>
          <w:rFonts w:hint="eastAsia"/>
        </w:rPr>
      </w:pPr>
      <w:r>
        <w:rPr>
          <w:rFonts w:eastAsia="Times New Roman"/>
          <w:b/>
          <w:u w:val="single"/>
          <w:lang w:eastAsia="fr-FR"/>
        </w:rPr>
        <w:t>ARRÊTE</w:t>
      </w:r>
    </w:p>
    <w:p w14:paraId="5A24A2F5" w14:textId="77777777" w:rsidR="007155B4" w:rsidRDefault="007155B4">
      <w:pPr>
        <w:pStyle w:val="Standard"/>
        <w:rPr>
          <w:rFonts w:eastAsia="Times New Roman"/>
          <w:lang w:eastAsia="fr-FR"/>
        </w:rPr>
      </w:pPr>
    </w:p>
    <w:p w14:paraId="4A8C83F2" w14:textId="77777777" w:rsidR="007155B4" w:rsidRDefault="00000000">
      <w:pPr>
        <w:pStyle w:val="Standard"/>
        <w:jc w:val="both"/>
        <w:rPr>
          <w:rFonts w:hint="eastAsia"/>
        </w:rPr>
      </w:pPr>
      <w:r>
        <w:rPr>
          <w:rFonts w:eastAsia="Times New Roman"/>
          <w:b/>
          <w:u w:val="single"/>
          <w:lang w:eastAsia="fr-FR"/>
        </w:rPr>
        <w:t>ARTICLE 1</w:t>
      </w:r>
      <w:r>
        <w:rPr>
          <w:rFonts w:eastAsia="Times New Roman"/>
          <w:b/>
          <w:lang w:eastAsia="fr-FR"/>
        </w:rPr>
        <w:t> </w:t>
      </w:r>
      <w:r>
        <w:rPr>
          <w:rFonts w:eastAsia="Times New Roman"/>
          <w:lang w:eastAsia="fr-FR"/>
        </w:rPr>
        <w:t>: Madame LADUCHE Maider est autorisée à occuper le domaine public communal en vue d’exercer son commerce aux conditions suivantes :</w:t>
      </w:r>
    </w:p>
    <w:p w14:paraId="0BAEA6D2" w14:textId="77777777" w:rsidR="007155B4" w:rsidRDefault="007155B4">
      <w:pPr>
        <w:pStyle w:val="Standard"/>
        <w:jc w:val="both"/>
        <w:rPr>
          <w:rFonts w:eastAsia="Times New Roman"/>
          <w:lang w:eastAsia="fr-FR"/>
        </w:rPr>
      </w:pPr>
    </w:p>
    <w:p w14:paraId="464279D7" w14:textId="77777777" w:rsidR="007155B4" w:rsidRDefault="00000000">
      <w:pPr>
        <w:pStyle w:val="Paragraphedeliste"/>
        <w:numPr>
          <w:ilvl w:val="0"/>
          <w:numId w:val="3"/>
        </w:numPr>
        <w:spacing w:after="0"/>
        <w:jc w:val="both"/>
      </w:pPr>
      <w:r>
        <w:rPr>
          <w:rFonts w:eastAsia="Times New Roman"/>
          <w:lang w:eastAsia="fr-FR"/>
        </w:rPr>
        <w:t>Une terrasse extérieure non fermée, d’une superficie totale de 20,32 m2 selon le plan annexé du 01 janvier 2025 au 31 décembre 2025,</w:t>
      </w:r>
    </w:p>
    <w:p w14:paraId="7F4905BE" w14:textId="77777777" w:rsidR="007155B4" w:rsidRDefault="007155B4">
      <w:pPr>
        <w:pStyle w:val="Standard"/>
        <w:ind w:left="720" w:hanging="360"/>
        <w:jc w:val="both"/>
        <w:rPr>
          <w:rFonts w:eastAsia="Times New Roman"/>
          <w:b/>
          <w:lang w:eastAsia="fr-FR"/>
        </w:rPr>
      </w:pPr>
    </w:p>
    <w:p w14:paraId="2F6E45A8" w14:textId="77777777" w:rsidR="007155B4" w:rsidRDefault="00000000">
      <w:pPr>
        <w:pStyle w:val="Standard"/>
        <w:jc w:val="both"/>
        <w:rPr>
          <w:rFonts w:hint="eastAsia"/>
        </w:rPr>
      </w:pPr>
      <w:r>
        <w:rPr>
          <w:rFonts w:eastAsia="Times New Roman"/>
          <w:b/>
          <w:u w:val="single"/>
          <w:lang w:eastAsia="fr-FR"/>
        </w:rPr>
        <w:t>Article 2 </w:t>
      </w:r>
      <w:r>
        <w:rPr>
          <w:rFonts w:eastAsia="Times New Roman"/>
          <w:lang w:eastAsia="fr-FR"/>
        </w:rPr>
        <w:t>: Toute installation ou modification de mobilier ou d’équipements divers composant la terrasse (parasol, store, paravent, porte menu, chauffage …) se doit de respecter le domaine public accordé au préalable et doit faire l’objet d’un accord préalable de l’autorité municipale.</w:t>
      </w:r>
    </w:p>
    <w:p w14:paraId="34730CC8" w14:textId="77777777" w:rsidR="007155B4" w:rsidRDefault="007155B4">
      <w:pPr>
        <w:pStyle w:val="Standard"/>
        <w:jc w:val="both"/>
        <w:rPr>
          <w:rFonts w:eastAsia="Times New Roman"/>
          <w:b/>
          <w:u w:val="single"/>
          <w:lang w:eastAsia="fr-FR"/>
        </w:rPr>
      </w:pPr>
    </w:p>
    <w:p w14:paraId="3CBE2AD3" w14:textId="77777777" w:rsidR="007155B4" w:rsidRDefault="00000000">
      <w:pPr>
        <w:pStyle w:val="Standard"/>
        <w:jc w:val="both"/>
        <w:rPr>
          <w:rFonts w:hint="eastAsia"/>
        </w:rPr>
      </w:pPr>
      <w:r>
        <w:rPr>
          <w:rFonts w:eastAsia="Times New Roman"/>
          <w:b/>
          <w:u w:val="single"/>
          <w:lang w:eastAsia="fr-FR"/>
        </w:rPr>
        <w:t>Article 3</w:t>
      </w:r>
      <w:r>
        <w:rPr>
          <w:rFonts w:eastAsia="Times New Roman"/>
          <w:lang w:eastAsia="fr-FR"/>
        </w:rPr>
        <w:t xml:space="preserve"> : Les horaires d’utilisation de la terrasse extérieure sont identiques aux horaires d’ouverture de l’établissement.</w:t>
      </w:r>
    </w:p>
    <w:p w14:paraId="667DB625" w14:textId="77777777" w:rsidR="007155B4" w:rsidRDefault="00000000">
      <w:pPr>
        <w:pStyle w:val="Standard"/>
        <w:jc w:val="both"/>
        <w:rPr>
          <w:rFonts w:hint="eastAsia"/>
        </w:rPr>
      </w:pPr>
      <w:r>
        <w:rPr>
          <w:rFonts w:eastAsia="Times New Roman"/>
          <w:lang w:eastAsia="fr-FR"/>
        </w:rPr>
        <w:t>L’exploitant veillera à ce que l’exploitation de la terrasse extérieure ne soit pas source de gêne pour le voisinage.</w:t>
      </w:r>
    </w:p>
    <w:p w14:paraId="7FC18CF1" w14:textId="77777777" w:rsidR="007155B4" w:rsidRDefault="00000000">
      <w:pPr>
        <w:pStyle w:val="Standard"/>
        <w:jc w:val="both"/>
        <w:rPr>
          <w:rFonts w:hint="eastAsia"/>
        </w:rPr>
      </w:pPr>
      <w:r>
        <w:rPr>
          <w:rFonts w:eastAsia="Times New Roman"/>
          <w:lang w:eastAsia="fr-FR"/>
        </w:rPr>
        <w:t>Toute diffusion de musique amplifiée ou de musique d’ambiance est interdite sur la terrasse.</w:t>
      </w:r>
    </w:p>
    <w:p w14:paraId="3F490225" w14:textId="77777777" w:rsidR="007155B4" w:rsidRDefault="007155B4">
      <w:pPr>
        <w:pStyle w:val="Standard"/>
        <w:jc w:val="both"/>
        <w:rPr>
          <w:rFonts w:eastAsia="Times New Roman"/>
          <w:b/>
          <w:u w:val="single"/>
          <w:lang w:eastAsia="fr-FR"/>
        </w:rPr>
      </w:pPr>
    </w:p>
    <w:p w14:paraId="6EE4245F" w14:textId="77777777" w:rsidR="007155B4" w:rsidRDefault="00000000">
      <w:pPr>
        <w:pStyle w:val="Standard"/>
        <w:jc w:val="both"/>
        <w:rPr>
          <w:rFonts w:hint="eastAsia"/>
        </w:rPr>
      </w:pPr>
      <w:r>
        <w:rPr>
          <w:rFonts w:eastAsia="Times New Roman"/>
          <w:b/>
          <w:u w:val="single"/>
          <w:lang w:eastAsia="fr-FR"/>
        </w:rPr>
        <w:t>Article 4</w:t>
      </w:r>
      <w:r>
        <w:rPr>
          <w:rFonts w:eastAsia="Times New Roman"/>
          <w:lang w:eastAsia="fr-FR"/>
        </w:rPr>
        <w:t xml:space="preserve"> : L’exploitant devra s’acquitter des redevances calculées en fonction des tarifs fixés annuellement soit 20€/m2/an, soit un total de 406,40€</w:t>
      </w:r>
    </w:p>
    <w:p w14:paraId="41545609" w14:textId="77777777" w:rsidR="007155B4" w:rsidRDefault="00000000">
      <w:pPr>
        <w:pStyle w:val="Standard"/>
        <w:jc w:val="both"/>
        <w:rPr>
          <w:rFonts w:hint="eastAsia"/>
        </w:rPr>
      </w:pPr>
      <w:r>
        <w:rPr>
          <w:rFonts w:eastAsia="Times New Roman"/>
          <w:lang w:eastAsia="fr-FR"/>
        </w:rPr>
        <w:t>Le non-paiement entraîne de plein droit le retrait de l’autorisation.</w:t>
      </w:r>
    </w:p>
    <w:p w14:paraId="5B75651E" w14:textId="77777777" w:rsidR="007155B4" w:rsidRDefault="007155B4">
      <w:pPr>
        <w:pStyle w:val="Standard"/>
        <w:jc w:val="both"/>
        <w:rPr>
          <w:rFonts w:eastAsia="Times New Roman"/>
          <w:lang w:eastAsia="fr-FR"/>
        </w:rPr>
      </w:pPr>
    </w:p>
    <w:p w14:paraId="41B52589" w14:textId="77777777" w:rsidR="007155B4" w:rsidRDefault="00000000">
      <w:pPr>
        <w:pStyle w:val="Standard"/>
        <w:jc w:val="both"/>
        <w:rPr>
          <w:rFonts w:hint="eastAsia"/>
        </w:rPr>
      </w:pPr>
      <w:r>
        <w:rPr>
          <w:rFonts w:eastAsia="Times New Roman"/>
          <w:b/>
          <w:u w:val="single"/>
          <w:lang w:eastAsia="fr-FR"/>
        </w:rPr>
        <w:t>Article 5</w:t>
      </w:r>
      <w:r>
        <w:rPr>
          <w:rFonts w:eastAsia="Times New Roman"/>
          <w:lang w:eastAsia="fr-FR"/>
        </w:rPr>
        <w:t xml:space="preserve"> : Le permissionnaire veillera à conserver le domaine public en parfait état de propreté pendant toutes les périodes d’occupation. En cas de détérioration et de dégradation ou de salissures constatées, la commune d’Ascain fera procéder aux travaux de remise en état aux frais exclusifs de l’exploitant.</w:t>
      </w:r>
    </w:p>
    <w:p w14:paraId="5D6DD95A" w14:textId="77777777" w:rsidR="007155B4" w:rsidRDefault="007155B4">
      <w:pPr>
        <w:pStyle w:val="Standard"/>
        <w:jc w:val="both"/>
        <w:rPr>
          <w:rFonts w:eastAsia="Times New Roman"/>
          <w:lang w:eastAsia="fr-FR"/>
        </w:rPr>
      </w:pPr>
    </w:p>
    <w:p w14:paraId="5A3830B4" w14:textId="77777777" w:rsidR="007155B4" w:rsidRDefault="00000000">
      <w:pPr>
        <w:pStyle w:val="Standard"/>
        <w:jc w:val="both"/>
        <w:rPr>
          <w:rFonts w:hint="eastAsia"/>
        </w:rPr>
      </w:pPr>
      <w:r>
        <w:rPr>
          <w:rFonts w:eastAsia="Times New Roman"/>
          <w:b/>
          <w:u w:val="single"/>
          <w:lang w:eastAsia="fr-FR"/>
        </w:rPr>
        <w:t>Article 6</w:t>
      </w:r>
      <w:r>
        <w:rPr>
          <w:rFonts w:eastAsia="Times New Roman"/>
          <w:lang w:eastAsia="fr-FR"/>
        </w:rPr>
        <w:t xml:space="preserve"> : La présente autorisation est accordée à titre précaire et révocable à tout moment, sans indemnité, en cas de non-respect par le permissionnaire des conditions précitées ou pour toute autre raison d’intérêt général, jusqu’au 31 décembre 2025.</w:t>
      </w:r>
    </w:p>
    <w:p w14:paraId="38B14F85" w14:textId="77777777" w:rsidR="007155B4" w:rsidRDefault="00000000">
      <w:pPr>
        <w:pStyle w:val="Standard"/>
        <w:jc w:val="both"/>
        <w:rPr>
          <w:rFonts w:hint="eastAsia"/>
        </w:rPr>
      </w:pPr>
      <w:r>
        <w:rPr>
          <w:rFonts w:eastAsia="Times New Roman"/>
          <w:lang w:eastAsia="fr-FR"/>
        </w:rPr>
        <w:t>Elle est personnelle et incessible, elle ne pourra être reconduite d’année en année que sur demande expresse du permissionnaire, au préalable 2 mois avant la fin de l’année civile.</w:t>
      </w:r>
    </w:p>
    <w:p w14:paraId="05446AE6" w14:textId="77777777" w:rsidR="007155B4" w:rsidRDefault="00000000">
      <w:pPr>
        <w:pStyle w:val="Standard"/>
        <w:jc w:val="both"/>
        <w:rPr>
          <w:rFonts w:hint="eastAsia"/>
        </w:rPr>
      </w:pPr>
      <w:r>
        <w:rPr>
          <w:rFonts w:eastAsia="Times New Roman"/>
          <w:lang w:eastAsia="fr-FR"/>
        </w:rPr>
        <w:t>Toute modification de la présente autorisation nécessitera une nouvelle demande.</w:t>
      </w:r>
    </w:p>
    <w:p w14:paraId="2CC5BB45" w14:textId="77777777" w:rsidR="007155B4" w:rsidRDefault="007155B4">
      <w:pPr>
        <w:pStyle w:val="Standard"/>
        <w:jc w:val="both"/>
        <w:rPr>
          <w:rFonts w:eastAsia="Times New Roman"/>
          <w:b/>
          <w:u w:val="single"/>
          <w:lang w:eastAsia="fr-FR"/>
        </w:rPr>
      </w:pPr>
    </w:p>
    <w:p w14:paraId="38AE0502" w14:textId="77777777" w:rsidR="007155B4" w:rsidRDefault="00000000">
      <w:pPr>
        <w:pStyle w:val="Standard"/>
        <w:jc w:val="both"/>
        <w:rPr>
          <w:rFonts w:hint="eastAsia"/>
        </w:rPr>
      </w:pPr>
      <w:r>
        <w:rPr>
          <w:rFonts w:eastAsia="Times New Roman"/>
          <w:b/>
          <w:u w:val="single"/>
          <w:lang w:eastAsia="fr-FR"/>
        </w:rPr>
        <w:t>Article 5</w:t>
      </w:r>
      <w:r>
        <w:rPr>
          <w:rFonts w:eastAsia="Times New Roman"/>
          <w:lang w:eastAsia="fr-FR"/>
        </w:rPr>
        <w:t xml:space="preserve"> : Le présent arrêté sera affiché et publié dans les conditions réglementaires habituelles. Monsieur le Directeur Général des Services de la Mairie, monsieur le Responsable des Services Techniques Municipaux, Monsieur le Commandant de la Brigade de Gendarmerie de St </w:t>
      </w:r>
      <w:proofErr w:type="spellStart"/>
      <w:r>
        <w:rPr>
          <w:rFonts w:eastAsia="Times New Roman"/>
          <w:lang w:eastAsia="fr-FR"/>
        </w:rPr>
        <w:t>Pée</w:t>
      </w:r>
      <w:proofErr w:type="spellEnd"/>
      <w:r>
        <w:rPr>
          <w:rFonts w:eastAsia="Times New Roman"/>
          <w:lang w:eastAsia="fr-FR"/>
        </w:rPr>
        <w:t xml:space="preserve"> sur Nivelle et les Gardiens de la Police Municipale pluri-communale de ST PEE-ASCAIN seront chargés, chacun en ce qui le concerne de l’application du présent arrêté.</w:t>
      </w:r>
    </w:p>
    <w:p w14:paraId="0702E763" w14:textId="77777777" w:rsidR="007155B4" w:rsidRDefault="007155B4">
      <w:pPr>
        <w:pStyle w:val="Standard"/>
        <w:jc w:val="both"/>
        <w:rPr>
          <w:rFonts w:eastAsia="Times New Roman"/>
          <w:lang w:eastAsia="fr-FR"/>
        </w:rPr>
      </w:pPr>
    </w:p>
    <w:p w14:paraId="15736349" w14:textId="77777777" w:rsidR="007155B4" w:rsidRDefault="00000000">
      <w:pPr>
        <w:pStyle w:val="Standard"/>
        <w:jc w:val="both"/>
        <w:rPr>
          <w:rFonts w:hint="eastAsia"/>
        </w:rPr>
      </w:pP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p>
    <w:p w14:paraId="06B4A258" w14:textId="77777777" w:rsidR="007155B4" w:rsidRDefault="00000000">
      <w:pPr>
        <w:pStyle w:val="Standard"/>
        <w:ind w:left="4956" w:firstLine="708"/>
        <w:jc w:val="both"/>
        <w:rPr>
          <w:rFonts w:hint="eastAsia"/>
        </w:rPr>
      </w:pPr>
      <w:r>
        <w:rPr>
          <w:rFonts w:eastAsia="Times New Roman"/>
          <w:lang w:eastAsia="fr-FR"/>
        </w:rPr>
        <w:t xml:space="preserve">Fait à Ascain, </w:t>
      </w:r>
      <w:proofErr w:type="gramStart"/>
      <w:r>
        <w:rPr>
          <w:rFonts w:eastAsia="Times New Roman"/>
          <w:lang w:eastAsia="fr-FR"/>
        </w:rPr>
        <w:t>le  27</w:t>
      </w:r>
      <w:proofErr w:type="gramEnd"/>
      <w:r>
        <w:rPr>
          <w:rFonts w:eastAsia="Times New Roman"/>
          <w:lang w:eastAsia="fr-FR"/>
        </w:rPr>
        <w:t xml:space="preserve"> novembre 2024</w:t>
      </w:r>
    </w:p>
    <w:p w14:paraId="5AC4ADA2" w14:textId="77777777" w:rsidR="007155B4" w:rsidRDefault="00000000">
      <w:pPr>
        <w:pStyle w:val="Standard"/>
        <w:rPr>
          <w:rFonts w:hint="eastAsia"/>
        </w:rPr>
      </w:pP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szCs w:val="20"/>
          <w:lang w:eastAsia="fr-FR"/>
        </w:rPr>
        <w:t>Monsieur le maire</w:t>
      </w:r>
    </w:p>
    <w:p w14:paraId="46460B60" w14:textId="77777777" w:rsidR="007155B4" w:rsidRDefault="00000000">
      <w:pPr>
        <w:pStyle w:val="Standard"/>
        <w:rPr>
          <w:rFonts w:hint="eastAsia"/>
        </w:rPr>
      </w:pPr>
      <w:r>
        <w:rPr>
          <w:rFonts w:eastAsia="Times New Roman"/>
          <w:szCs w:val="20"/>
          <w:lang w:eastAsia="fr-FR"/>
        </w:rPr>
        <w:tab/>
      </w:r>
      <w:r>
        <w:rPr>
          <w:rFonts w:eastAsia="Times New Roman"/>
          <w:szCs w:val="20"/>
          <w:lang w:eastAsia="fr-FR"/>
        </w:rPr>
        <w:tab/>
      </w:r>
      <w:r>
        <w:rPr>
          <w:rFonts w:eastAsia="Times New Roman"/>
          <w:szCs w:val="20"/>
          <w:lang w:eastAsia="fr-FR"/>
        </w:rPr>
        <w:tab/>
      </w:r>
      <w:r>
        <w:rPr>
          <w:rFonts w:eastAsia="Times New Roman"/>
          <w:szCs w:val="20"/>
          <w:lang w:eastAsia="fr-FR"/>
        </w:rPr>
        <w:tab/>
      </w:r>
      <w:r>
        <w:rPr>
          <w:rFonts w:eastAsia="Times New Roman"/>
          <w:szCs w:val="20"/>
          <w:lang w:eastAsia="fr-FR"/>
        </w:rPr>
        <w:tab/>
      </w:r>
      <w:r>
        <w:rPr>
          <w:rFonts w:eastAsia="Times New Roman"/>
          <w:szCs w:val="20"/>
          <w:lang w:eastAsia="fr-FR"/>
        </w:rPr>
        <w:tab/>
      </w:r>
      <w:r>
        <w:rPr>
          <w:rFonts w:eastAsia="Times New Roman"/>
          <w:szCs w:val="20"/>
          <w:lang w:eastAsia="fr-FR"/>
        </w:rPr>
        <w:tab/>
      </w:r>
      <w:r>
        <w:rPr>
          <w:rFonts w:eastAsia="Times New Roman"/>
          <w:szCs w:val="20"/>
          <w:lang w:eastAsia="fr-FR"/>
        </w:rPr>
        <w:tab/>
        <w:t>Jean-Louis FOURNIER</w:t>
      </w:r>
    </w:p>
    <w:p w14:paraId="082F2E75" w14:textId="77777777" w:rsidR="007155B4" w:rsidRDefault="007155B4">
      <w:pPr>
        <w:pStyle w:val="Standard"/>
        <w:rPr>
          <w:rFonts w:hint="eastAsia"/>
        </w:rPr>
      </w:pPr>
    </w:p>
    <w:sectPr w:rsidR="007155B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E4DF0" w14:textId="77777777" w:rsidR="00DD775C" w:rsidRDefault="00DD775C">
      <w:pPr>
        <w:rPr>
          <w:rFonts w:hint="eastAsia"/>
        </w:rPr>
      </w:pPr>
      <w:r>
        <w:separator/>
      </w:r>
    </w:p>
  </w:endnote>
  <w:endnote w:type="continuationSeparator" w:id="0">
    <w:p w14:paraId="56BA5C09" w14:textId="77777777" w:rsidR="00DD775C" w:rsidRDefault="00DD775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940EC" w14:textId="77777777" w:rsidR="00DD775C" w:rsidRDefault="00DD775C">
      <w:pPr>
        <w:rPr>
          <w:rFonts w:hint="eastAsia"/>
        </w:rPr>
      </w:pPr>
      <w:r>
        <w:rPr>
          <w:color w:val="000000"/>
        </w:rPr>
        <w:separator/>
      </w:r>
    </w:p>
  </w:footnote>
  <w:footnote w:type="continuationSeparator" w:id="0">
    <w:p w14:paraId="0CE3513C" w14:textId="77777777" w:rsidR="00DD775C" w:rsidRDefault="00DD775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C5F9D"/>
    <w:multiLevelType w:val="multilevel"/>
    <w:tmpl w:val="BA6E9E2E"/>
    <w:styleLink w:val="WWNum1"/>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5375042C"/>
    <w:multiLevelType w:val="multilevel"/>
    <w:tmpl w:val="611E4890"/>
    <w:styleLink w:val="WWNum2"/>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810174027">
    <w:abstractNumId w:val="0"/>
  </w:num>
  <w:num w:numId="2" w16cid:durableId="651177433">
    <w:abstractNumId w:val="1"/>
  </w:num>
  <w:num w:numId="3" w16cid:durableId="2032604308">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155B4"/>
    <w:rsid w:val="003B0F8A"/>
    <w:rsid w:val="007155B4"/>
    <w:rsid w:val="00C33BF3"/>
    <w:rsid w:val="00DD77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064CE"/>
  <w15:docId w15:val="{FC60D31E-A60F-4607-A5C5-8A71DF33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aragraphedeliste">
    <w:name w:val="List Paragraph"/>
    <w:basedOn w:val="Standard"/>
    <w:pPr>
      <w:spacing w:after="200" w:line="276" w:lineRule="auto"/>
      <w:ind w:left="720"/>
      <w:textAlignment w:val="auto"/>
    </w:pPr>
    <w:rPr>
      <w:rFonts w:ascii="Calibri" w:eastAsia="Calibri" w:hAnsi="Calibri" w:cs="Times New Roman"/>
      <w:sz w:val="22"/>
      <w:szCs w:val="22"/>
      <w:lang w:eastAsia="en-US" w:bidi="ar-SA"/>
    </w:rPr>
  </w:style>
  <w:style w:type="paragraph" w:customStyle="1" w:styleId="StandardWW">
    <w:name w:val="Standard (WW)"/>
  </w:style>
  <w:style w:type="character" w:customStyle="1" w:styleId="ListLabel1">
    <w:name w:val="ListLabel 1"/>
    <w:rPr>
      <w:rFonts w:ascii="Liberation Serif" w:eastAsia="Times New Roman" w:hAnsi="Liberation Serif" w:cs="Liberation Serif"/>
    </w:rPr>
  </w:style>
  <w:style w:type="character" w:customStyle="1" w:styleId="ListLabel2">
    <w:name w:val="ListLabel 2"/>
    <w:rPr>
      <w:rFonts w:ascii="Liberation Serif" w:eastAsia="Liberation Serif" w:hAnsi="Liberation Serif" w:cs="Liberation Serif"/>
    </w:rPr>
  </w:style>
  <w:style w:type="character" w:customStyle="1" w:styleId="ListLabel3">
    <w:name w:val="ListLabel 3"/>
    <w:rPr>
      <w:rFonts w:ascii="Liberation Serif" w:eastAsia="Liberation Serif" w:hAnsi="Liberation Serif" w:cs="Liberation Serif"/>
    </w:rPr>
  </w:style>
  <w:style w:type="character" w:customStyle="1" w:styleId="ListLabel4">
    <w:name w:val="ListLabel 4"/>
    <w:rPr>
      <w:rFonts w:ascii="Liberation Serif" w:eastAsia="Liberation Serif" w:hAnsi="Liberation Serif" w:cs="Liberation Serif"/>
    </w:rPr>
  </w:style>
  <w:style w:type="character" w:customStyle="1" w:styleId="ListLabel5">
    <w:name w:val="ListLabel 5"/>
    <w:rPr>
      <w:rFonts w:ascii="Liberation Serif" w:eastAsia="Liberation Serif" w:hAnsi="Liberation Serif" w:cs="Liberation Serif"/>
    </w:rPr>
  </w:style>
  <w:style w:type="character" w:customStyle="1" w:styleId="ListLabel6">
    <w:name w:val="ListLabel 6"/>
    <w:rPr>
      <w:rFonts w:ascii="Liberation Serif" w:eastAsia="Liberation Serif" w:hAnsi="Liberation Serif" w:cs="Liberation Serif"/>
    </w:rPr>
  </w:style>
  <w:style w:type="character" w:customStyle="1" w:styleId="ListLabel7">
    <w:name w:val="ListLabel 7"/>
    <w:rPr>
      <w:rFonts w:ascii="Liberation Serif" w:eastAsia="Liberation Serif" w:hAnsi="Liberation Serif" w:cs="Liberation Serif"/>
    </w:rPr>
  </w:style>
  <w:style w:type="character" w:customStyle="1" w:styleId="ListLabel8">
    <w:name w:val="ListLabel 8"/>
    <w:rPr>
      <w:rFonts w:ascii="Liberation Serif" w:eastAsia="Liberation Serif" w:hAnsi="Liberation Serif" w:cs="Liberation Serif"/>
    </w:rPr>
  </w:style>
  <w:style w:type="character" w:customStyle="1" w:styleId="ListLabel9">
    <w:name w:val="ListLabel 9"/>
    <w:rPr>
      <w:rFonts w:ascii="Liberation Serif" w:eastAsia="Liberation Serif" w:hAnsi="Liberation Serif" w:cs="Liberation Serif"/>
    </w:rPr>
  </w:style>
  <w:style w:type="character" w:customStyle="1" w:styleId="StrongEmphasis">
    <w:name w:val="Strong Emphasis"/>
    <w:rPr>
      <w:b/>
      <w:bCs/>
    </w:rPr>
  </w:style>
  <w:style w:type="character" w:customStyle="1" w:styleId="ListLabel10">
    <w:name w:val="ListLabel 10"/>
    <w:rPr>
      <w:rFonts w:ascii="Liberation Serif" w:eastAsia="Times New Roman" w:hAnsi="Liberation Serif" w:cs="Liberation Serif"/>
    </w:rPr>
  </w:style>
  <w:style w:type="character" w:customStyle="1" w:styleId="ListLabel11">
    <w:name w:val="ListLabel 11"/>
    <w:rPr>
      <w:rFonts w:ascii="Liberation Serif" w:eastAsia="Liberation Serif" w:hAnsi="Liberation Serif" w:cs="Liberation Serif"/>
    </w:rPr>
  </w:style>
  <w:style w:type="character" w:customStyle="1" w:styleId="ListLabel12">
    <w:name w:val="ListLabel 12"/>
    <w:rPr>
      <w:rFonts w:ascii="Liberation Serif" w:eastAsia="Liberation Serif" w:hAnsi="Liberation Serif" w:cs="Liberation Serif"/>
    </w:rPr>
  </w:style>
  <w:style w:type="character" w:customStyle="1" w:styleId="ListLabel13">
    <w:name w:val="ListLabel 13"/>
    <w:rPr>
      <w:rFonts w:ascii="Liberation Serif" w:eastAsia="Liberation Serif" w:hAnsi="Liberation Serif" w:cs="Liberation Serif"/>
    </w:rPr>
  </w:style>
  <w:style w:type="character" w:customStyle="1" w:styleId="ListLabel14">
    <w:name w:val="ListLabel 14"/>
    <w:rPr>
      <w:rFonts w:ascii="Liberation Serif" w:eastAsia="Liberation Serif" w:hAnsi="Liberation Serif" w:cs="Liberation Serif"/>
    </w:rPr>
  </w:style>
  <w:style w:type="character" w:customStyle="1" w:styleId="ListLabel15">
    <w:name w:val="ListLabel 15"/>
    <w:rPr>
      <w:rFonts w:ascii="Liberation Serif" w:eastAsia="Liberation Serif" w:hAnsi="Liberation Serif" w:cs="Liberation Serif"/>
    </w:rPr>
  </w:style>
  <w:style w:type="character" w:customStyle="1" w:styleId="ListLabel16">
    <w:name w:val="ListLabel 16"/>
    <w:rPr>
      <w:rFonts w:ascii="Liberation Serif" w:eastAsia="Liberation Serif" w:hAnsi="Liberation Serif" w:cs="Liberation Serif"/>
    </w:rPr>
  </w:style>
  <w:style w:type="character" w:customStyle="1" w:styleId="ListLabel17">
    <w:name w:val="ListLabel 17"/>
    <w:rPr>
      <w:rFonts w:ascii="Liberation Serif" w:eastAsia="Liberation Serif" w:hAnsi="Liberation Serif" w:cs="Liberation Serif"/>
    </w:rPr>
  </w:style>
  <w:style w:type="character" w:customStyle="1" w:styleId="ListLabel18">
    <w:name w:val="ListLabel 18"/>
    <w:rPr>
      <w:rFonts w:ascii="Liberation Serif" w:eastAsia="Liberation Serif" w:hAnsi="Liberation Serif" w:cs="Liberation Serif"/>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3421</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Mairie Ascain</cp:lastModifiedBy>
  <cp:revision>2</cp:revision>
  <dcterms:created xsi:type="dcterms:W3CDTF">2024-11-28T16:06:00Z</dcterms:created>
  <dcterms:modified xsi:type="dcterms:W3CDTF">2024-11-28T16:06:00Z</dcterms:modified>
</cp:coreProperties>
</file>